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keepNext/>
        <w:keepLines/>
        <w:pageBreakBefore w:val="0"/>
        <w:tabs>
          <w:tab w:val="right" w:pos="9639"/>
        </w:tabs>
        <w:kinsoku/>
        <w:wordWrap/>
        <w:topLinePunct w:val="0"/>
        <w:bidi w:val="0"/>
        <w:spacing w:after="0"/>
        <w:rPr>
          <w:b/>
          <w:sz w:val="24"/>
          <w:lang w:eastAsia="ko-KR"/>
        </w:rPr>
      </w:pPr>
      <w:bookmarkStart w:id="0" w:name="_Hlt450051172"/>
      <w:bookmarkEnd w:id="0"/>
      <w:bookmarkStart w:id="1" w:name="_Hlt450039480"/>
      <w:bookmarkEnd w:id="1"/>
      <w:bookmarkStart w:id="2" w:name="_Hlt450066085"/>
      <w:bookmarkEnd w:id="2"/>
      <w:bookmarkStart w:id="3" w:name="_Hlt448930105"/>
      <w:bookmarkEnd w:id="3"/>
      <w:bookmarkStart w:id="4" w:name="_Hlt450066087"/>
      <w:bookmarkEnd w:id="4"/>
      <w:bookmarkStart w:id="5" w:name="_Hlt449016246"/>
      <w:bookmarkEnd w:id="5"/>
      <w:bookmarkStart w:id="6" w:name="OLE_LINK15"/>
      <w:r>
        <w:rPr>
          <w:rFonts w:cs="Arial"/>
          <w:b/>
          <w:bCs/>
          <w:sz w:val="24"/>
        </w:rPr>
        <w:t>3GPP TSG RAN Meeting #</w:t>
      </w:r>
      <w:r>
        <w:rPr>
          <w:rFonts w:cs="Arial"/>
          <w:b/>
          <w:bCs/>
          <w:sz w:val="24"/>
          <w:lang w:eastAsia="zh-TW"/>
        </w:rPr>
        <w:t>104</w:t>
      </w:r>
      <w:r>
        <w:rPr>
          <w:b/>
          <w:sz w:val="24"/>
        </w:rPr>
        <w:tab/>
      </w:r>
      <w:r>
        <w:rPr>
          <w:rFonts w:cs="Arial"/>
          <w:b/>
          <w:bCs/>
          <w:sz w:val="24"/>
        </w:rPr>
        <w:t>RP-24xxxx</w:t>
      </w:r>
    </w:p>
    <w:p>
      <w:pPr>
        <w:pStyle w:val="33"/>
        <w:keepNext/>
        <w:keepLines/>
        <w:pageBreakBefore w:val="0"/>
        <w:tabs>
          <w:tab w:val="right" w:pos="9638"/>
        </w:tabs>
        <w:kinsoku/>
        <w:wordWrap/>
        <w:topLinePunct w:val="0"/>
        <w:bidi w:val="0"/>
        <w:rPr>
          <w:rFonts w:cs="Arial"/>
          <w:bCs/>
          <w:sz w:val="24"/>
          <w:lang w:eastAsia="zh-TW"/>
        </w:rPr>
      </w:pPr>
      <w:r>
        <w:rPr>
          <w:rFonts w:cs="Arial"/>
          <w:bCs/>
          <w:sz w:val="24"/>
        </w:rPr>
        <w:t>Shanghai, China, June 17 - 20, 2024</w:t>
      </w:r>
    </w:p>
    <w:bookmarkEnd w:id="6"/>
    <w:p>
      <w:pPr>
        <w:pStyle w:val="33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4472C4"/>
          <w:sz w:val="22"/>
        </w:rPr>
        <w:br w:type="textWrapping"/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Title: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Presentation of Report to TSG: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</w:t>
      </w:r>
      <w:r>
        <w:rPr>
          <w:rFonts w:hint="eastAsia" w:ascii="Arial" w:hAnsi="Arial" w:cs="Arial"/>
          <w:b/>
          <w:color w:val="auto"/>
        </w:rPr>
        <w:t>38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.</w:t>
      </w:r>
      <w:r>
        <w:rPr>
          <w:rFonts w:hint="eastAsia" w:ascii="Arial" w:hAnsi="Arial" w:cs="Arial"/>
          <w:b/>
          <w:color w:val="auto"/>
        </w:rPr>
        <w:t>718-02-01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 xml:space="preserve"> Version 1.0.0</w:t>
      </w:r>
      <w:r>
        <w:rPr>
          <w:rFonts w:ascii="Arial" w:hAnsi="Arial" w:cs="Arial"/>
          <w:b/>
          <w:color w:val="auto"/>
        </w:rPr>
        <w:br w:type="textWrapping"/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Source: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ZTE Coporation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Agenda item: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9.5.2.2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Release: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Rel-</w:t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18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Work Item: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  <w:sz w:val="20"/>
          <w:szCs w:val="20"/>
        </w:rPr>
        <w:t>NR_CADC_R18_2BDL_xBUL</w:t>
      </w:r>
    </w:p>
    <w:p>
      <w:pPr>
        <w:spacing w:after="60"/>
        <w:ind w:left="1985" w:hanging="1985"/>
        <w:rPr>
          <w:rFonts w:hint="default" w:ascii="Arial" w:hAnsi="Arial" w:eastAsia="宋体" w:cs="Arial"/>
          <w:b/>
          <w:color w:val="auto"/>
          <w:lang w:val="en-US" w:eastAsia="zh-CN"/>
        </w:rPr>
      </w:pPr>
      <w:r>
        <w:rPr>
          <w:rFonts w:ascii="Arial" w:hAnsi="Arial" w:cs="Arial"/>
          <w:b/>
          <w:color w:val="auto"/>
        </w:rPr>
        <w:t>Responsible WG:</w:t>
      </w:r>
      <w:r>
        <w:rPr>
          <w:rFonts w:ascii="Arial" w:hAnsi="Arial" w:cs="Arial"/>
          <w:b/>
          <w:color w:val="auto"/>
        </w:rPr>
        <w:tab/>
      </w:r>
      <w:r>
        <w:rPr>
          <w:rFonts w:hint="eastAsia" w:ascii="Arial" w:hAnsi="Arial" w:eastAsia="宋体" w:cs="Arial"/>
          <w:b/>
          <w:color w:val="auto"/>
          <w:lang w:val="en-US" w:eastAsia="zh-CN"/>
        </w:rPr>
        <w:t>RAN4</w:t>
      </w:r>
    </w:p>
    <w:p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/>
          <w:color w:val="auto"/>
        </w:rPr>
        <w:t>Document for:</w:t>
      </w:r>
      <w:r>
        <w:rPr>
          <w:rFonts w:ascii="Arial" w:hAnsi="Arial" w:cs="Arial"/>
          <w:b/>
          <w:color w:val="auto"/>
        </w:rPr>
        <w:tab/>
      </w:r>
      <w:r>
        <w:rPr>
          <w:rFonts w:ascii="Arial" w:hAnsi="Arial" w:cs="Arial"/>
          <w:b/>
          <w:color w:val="auto"/>
        </w:rPr>
        <w:t>Approval</w:t>
      </w:r>
    </w:p>
    <w:p>
      <w:pPr>
        <w:tabs>
          <w:tab w:val="left" w:pos="3119"/>
        </w:tabs>
        <w:rPr>
          <w:b/>
          <w:sz w:val="24"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>
      <w:pPr>
        <w:rPr>
          <w:rFonts w:hint="eastAsia" w:ascii="Arial" w:hAnsi="Arial" w:eastAsia="宋体" w:cs="Arial"/>
          <w:szCs w:val="22"/>
          <w:lang w:val="en-US" w:eastAsia="zh-CN"/>
        </w:rPr>
      </w:pPr>
      <w:r>
        <w:rPr>
          <w:rFonts w:ascii="Arial" w:hAnsi="Arial" w:cs="Arial"/>
          <w:sz w:val="20"/>
          <w:szCs w:val="22"/>
        </w:rPr>
        <w:t>This TR summarizes the study of</w:t>
      </w:r>
      <w:r>
        <w:rPr>
          <w:rFonts w:hint="default" w:ascii="Arial" w:hAnsi="Arial" w:eastAsia="宋体" w:cs="Arial"/>
          <w:sz w:val="20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val="en-US" w:eastAsia="zh-CN"/>
        </w:rPr>
        <w:t xml:space="preserve">NR </w:t>
      </w:r>
      <w:r>
        <w:rPr>
          <w:rFonts w:hint="default" w:ascii="Arial" w:hAnsi="Arial" w:cs="Arial"/>
          <w:szCs w:val="22"/>
          <w:lang w:eastAsia="ja-JP"/>
        </w:rPr>
        <w:t>inter-band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CA</w:t>
      </w:r>
      <w:r>
        <w:rPr>
          <w:rFonts w:hint="default" w:ascii="Arial" w:hAnsi="Arial" w:cs="Arial"/>
          <w:szCs w:val="22"/>
          <w:lang w:val="en-US" w:eastAsia="zh-CN"/>
        </w:rPr>
        <w:t xml:space="preserve"> and DC for 2 bands DL with </w:t>
      </w:r>
      <w:r>
        <w:rPr>
          <w:rFonts w:hint="eastAsia" w:ascii="Arial" w:hAnsi="Arial" w:cs="Arial"/>
          <w:szCs w:val="22"/>
          <w:lang w:val="en-US" w:eastAsia="zh-CN"/>
        </w:rPr>
        <w:t>x</w:t>
      </w:r>
      <w:r>
        <w:rPr>
          <w:rFonts w:hint="default" w:ascii="Arial" w:hAnsi="Arial" w:cs="Arial"/>
          <w:szCs w:val="22"/>
          <w:lang w:val="en-US" w:eastAsia="zh-CN"/>
        </w:rPr>
        <w:t xml:space="preserve"> bands</w:t>
      </w:r>
      <w:r>
        <w:rPr>
          <w:rFonts w:hint="eastAsia" w:ascii="Arial" w:hAnsi="Arial" w:cs="Arial"/>
          <w:szCs w:val="22"/>
          <w:lang w:val="en-US" w:eastAsia="zh-CN"/>
        </w:rPr>
        <w:t xml:space="preserve"> (x=1,2)</w:t>
      </w:r>
      <w:r>
        <w:rPr>
          <w:rFonts w:hint="default"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under Rel-1</w:t>
      </w:r>
      <w:r>
        <w:rPr>
          <w:rFonts w:hint="eastAsia" w:ascii="Arial" w:hAnsi="Arial" w:eastAsia="宋体" w:cs="Arial"/>
          <w:szCs w:val="22"/>
          <w:lang w:val="en-US" w:eastAsia="zh-CN"/>
        </w:rPr>
        <w:t>8</w:t>
      </w:r>
      <w:r>
        <w:rPr>
          <w:rFonts w:ascii="Arial" w:hAnsi="Arial" w:cs="Arial"/>
          <w:szCs w:val="22"/>
        </w:rPr>
        <w:t xml:space="preserve"> time frame. </w:t>
      </w:r>
      <w:r>
        <w:rPr>
          <w:rFonts w:hint="eastAsia" w:ascii="Arial" w:hAnsi="Arial" w:eastAsia="宋体" w:cs="Arial"/>
          <w:szCs w:val="22"/>
          <w:lang w:val="en-US" w:eastAsia="zh-CN"/>
        </w:rPr>
        <w:t>For NR FR1+FR1 inter-band CA/DC band combination, TP to TR approach is adopted. T</w:t>
      </w:r>
      <w:r>
        <w:rPr>
          <w:rFonts w:ascii="Arial" w:hAnsi="Arial" w:cs="Arial"/>
          <w:szCs w:val="22"/>
        </w:rPr>
        <w:t>he purpose</w:t>
      </w:r>
      <w:r>
        <w:rPr>
          <w:rFonts w:hint="eastAsia" w:ascii="Arial" w:hAnsi="Arial" w:eastAsia="宋体" w:cs="Arial"/>
          <w:szCs w:val="22"/>
          <w:lang w:val="en-US" w:eastAsia="zh-CN"/>
        </w:rPr>
        <w:t xml:space="preserve"> for the TR</w:t>
      </w:r>
      <w:r>
        <w:rPr>
          <w:rFonts w:ascii="Arial" w:hAnsi="Arial" w:cs="Arial"/>
          <w:szCs w:val="22"/>
        </w:rPr>
        <w:t xml:space="preserve"> is to gather the relevant background information and studies in order to address</w:t>
      </w:r>
      <w:r>
        <w:rPr>
          <w:rFonts w:hint="default" w:ascii="Arial" w:hAnsi="Arial" w:cs="Arial"/>
          <w:szCs w:val="22"/>
          <w:lang w:val="en-US" w:eastAsia="zh-CN"/>
        </w:rPr>
        <w:t xml:space="preserve"> NR</w:t>
      </w:r>
      <w:r>
        <w:rPr>
          <w:rFonts w:hint="eastAsia" w:ascii="Arial" w:hAnsi="Arial" w:cs="Arial"/>
          <w:szCs w:val="22"/>
          <w:lang w:val="en-US" w:eastAsia="zh-CN"/>
        </w:rPr>
        <w:t xml:space="preserve"> FR1+FR1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inter-band</w:t>
      </w:r>
      <w:r>
        <w:rPr>
          <w:rFonts w:hint="default" w:ascii="Arial" w:hAnsi="Arial" w:cs="Arial"/>
          <w:szCs w:val="22"/>
          <w:lang w:val="en-US" w:eastAsia="zh-CN"/>
        </w:rPr>
        <w:t xml:space="preserve"> </w:t>
      </w:r>
      <w:r>
        <w:rPr>
          <w:rFonts w:hint="default" w:ascii="Arial" w:hAnsi="Arial" w:cs="Arial"/>
          <w:szCs w:val="22"/>
          <w:lang w:eastAsia="ja-JP"/>
        </w:rPr>
        <w:t>CA</w:t>
      </w:r>
      <w:r>
        <w:rPr>
          <w:rFonts w:hint="default" w:ascii="Arial" w:hAnsi="Arial" w:cs="Arial"/>
          <w:szCs w:val="22"/>
          <w:lang w:val="en-US" w:eastAsia="zh-CN"/>
        </w:rPr>
        <w:t xml:space="preserve"> and DC for 2 bands DL with </w:t>
      </w:r>
      <w:r>
        <w:rPr>
          <w:rFonts w:hint="eastAsia" w:ascii="Arial" w:hAnsi="Arial" w:cs="Arial"/>
          <w:szCs w:val="22"/>
          <w:lang w:val="en-US" w:eastAsia="zh-CN"/>
        </w:rPr>
        <w:t>x</w:t>
      </w:r>
      <w:r>
        <w:rPr>
          <w:rFonts w:hint="default" w:ascii="Arial" w:hAnsi="Arial" w:cs="Arial"/>
          <w:szCs w:val="22"/>
          <w:lang w:val="en-US" w:eastAsia="zh-CN"/>
        </w:rPr>
        <w:t xml:space="preserve"> bands</w:t>
      </w:r>
      <w:r>
        <w:rPr>
          <w:rFonts w:hint="eastAsia" w:ascii="Arial" w:hAnsi="Arial" w:cs="Arial"/>
          <w:szCs w:val="22"/>
          <w:lang w:val="en-US" w:eastAsia="zh-CN"/>
        </w:rPr>
        <w:t xml:space="preserve"> (x=1,2)</w:t>
      </w:r>
      <w:r>
        <w:rPr>
          <w:rFonts w:hint="default" w:ascii="Arial" w:hAnsi="Arial" w:cs="Arial"/>
          <w:szCs w:val="22"/>
          <w:lang w:val="en-US" w:eastAsia="zh-CN"/>
        </w:rPr>
        <w:t xml:space="preserve"> UL </w:t>
      </w:r>
      <w:r>
        <w:rPr>
          <w:rFonts w:ascii="Arial" w:hAnsi="Arial" w:cs="Arial"/>
          <w:szCs w:val="22"/>
        </w:rPr>
        <w:t>for the Rel-1</w:t>
      </w:r>
      <w:r>
        <w:rPr>
          <w:rFonts w:hint="eastAsia" w:ascii="Arial" w:hAnsi="Arial" w:eastAsia="宋体" w:cs="Arial"/>
          <w:szCs w:val="22"/>
          <w:lang w:val="en-US" w:eastAsia="zh-CN"/>
        </w:rPr>
        <w:t>8</w:t>
      </w:r>
      <w:r>
        <w:rPr>
          <w:rFonts w:ascii="Arial" w:hAnsi="Arial" w:cs="Arial"/>
          <w:szCs w:val="22"/>
        </w:rPr>
        <w:t xml:space="preserve"> band combinations</w:t>
      </w:r>
      <w:r>
        <w:rPr>
          <w:rFonts w:hint="eastAsia" w:ascii="Arial" w:hAnsi="Arial" w:eastAsia="宋体" w:cs="Arial"/>
          <w:szCs w:val="22"/>
          <w:lang w:val="en-US" w:eastAsia="zh-CN"/>
        </w:rPr>
        <w:t>.</w:t>
      </w:r>
      <w:bookmarkStart w:id="8" w:name="_GoBack"/>
      <w:bookmarkEnd w:id="8"/>
    </w:p>
    <w:p>
      <w:pPr>
        <w:rPr>
          <w:rFonts w:hint="eastAsia" w:ascii="Arial" w:hAnsi="Arial" w:eastAsia="宋体" w:cs="Arial"/>
          <w:szCs w:val="22"/>
          <w:lang w:val="en-US" w:eastAsia="zh-CN"/>
        </w:rPr>
      </w:pPr>
      <w:r>
        <w:rPr>
          <w:rFonts w:hint="eastAsia" w:ascii="Arial" w:hAnsi="Arial" w:eastAsia="宋体" w:cs="Arial"/>
          <w:szCs w:val="22"/>
          <w:lang w:val="en-US" w:eastAsia="zh-CN"/>
        </w:rPr>
        <w:t>For NR FR1+FR2 inter-band CA/DC band combination,</w:t>
      </w:r>
      <w:bookmarkStart w:id="7" w:name="OLE_LINK1"/>
      <w:r>
        <w:rPr>
          <w:rFonts w:hint="eastAsia" w:ascii="Arial" w:hAnsi="Arial" w:eastAsia="宋体" w:cs="Arial"/>
          <w:szCs w:val="22"/>
          <w:lang w:val="en-US" w:eastAsia="zh-CN"/>
        </w:rPr>
        <w:t xml:space="preserve"> draft CR approach is adopted </w:t>
      </w:r>
      <w:bookmarkEnd w:id="7"/>
      <w:r>
        <w:rPr>
          <w:rFonts w:hint="eastAsia" w:ascii="Arial" w:hAnsi="Arial" w:eastAsia="宋体" w:cs="Arial"/>
          <w:szCs w:val="22"/>
          <w:lang w:val="en-US" w:eastAsia="zh-CN"/>
        </w:rPr>
        <w:t xml:space="preserve">since there are no technical issues. </w:t>
      </w:r>
    </w:p>
    <w:p>
      <w:pPr>
        <w:rPr>
          <w:rFonts w:hint="default" w:ascii="Arial" w:hAnsi="Arial" w:eastAsia="宋体" w:cs="Arial"/>
          <w:szCs w:val="22"/>
          <w:lang w:val="en-US" w:eastAsia="zh-CN"/>
        </w:rPr>
      </w:pPr>
      <w:r>
        <w:rPr>
          <w:rFonts w:hint="eastAsia" w:ascii="Arial" w:hAnsi="Arial" w:eastAsia="宋体" w:cs="Arial"/>
          <w:szCs w:val="22"/>
          <w:lang w:val="en-US" w:eastAsia="zh-CN"/>
        </w:rPr>
        <w:t xml:space="preserve">For NR FR2+FR2 inter-band CA/DC band combination, </w:t>
      </w:r>
      <w:r>
        <w:rPr>
          <w:rFonts w:hint="eastAsia" w:ascii="Arial" w:hAnsi="Arial" w:eastAsia="宋体" w:cs="Arial"/>
          <w:szCs w:val="22"/>
          <w:lang w:val="en-US" w:eastAsia="zh-CN"/>
        </w:rPr>
        <w:t>draft CR approach is also adopted since only</w:t>
      </w:r>
      <w:r>
        <w:rPr>
          <w:rFonts w:hint="eastAsia" w:ascii="Arial" w:hAnsi="Arial" w:eastAsia="宋体" w:cs="Arial"/>
          <w:szCs w:val="22"/>
          <w:lang w:val="en-US" w:eastAsia="zh-CN"/>
        </w:rPr>
        <w:t xml:space="preserve"> high order configurations were included and there are no technical issues. </w:t>
      </w:r>
      <w:r>
        <w:rPr>
          <w:rFonts w:hint="eastAsia" w:ascii="Arial" w:hAnsi="Arial" w:eastAsia="宋体" w:cs="Arial"/>
          <w:szCs w:val="2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color w:val="0000FF"/>
          <w:sz w:val="24"/>
        </w:rPr>
      </w:pPr>
      <w:r>
        <w:rPr>
          <w:rFonts w:hint="default" w:ascii="Arial" w:hAnsi="Arial" w:cs="Arial"/>
          <w:sz w:val="20"/>
          <w:szCs w:val="22"/>
          <w:lang w:val="en-US" w:eastAsia="zh-CN"/>
        </w:rPr>
        <w:t>The required changes to TS38.101-1</w:t>
      </w:r>
      <w:r>
        <w:rPr>
          <w:rFonts w:hint="eastAsia" w:ascii="Arial" w:hAnsi="Arial" w:cs="Arial"/>
          <w:sz w:val="20"/>
          <w:szCs w:val="22"/>
          <w:lang w:val="en-US" w:eastAsia="zh-CN"/>
        </w:rPr>
        <w:t>, TS38.101-2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and TS38.101-3 have been already captured in the past RAN4 meetings. The lastest corresponding Rel-1</w:t>
      </w:r>
      <w:r>
        <w:rPr>
          <w:rFonts w:hint="eastAsia" w:ascii="Arial" w:hAnsi="Arial" w:cs="Arial"/>
          <w:sz w:val="20"/>
          <w:szCs w:val="22"/>
          <w:lang w:val="en-US" w:eastAsia="zh-CN"/>
        </w:rPr>
        <w:t>8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CR to reflect the completed NR inter band CA DC combinations</w:t>
      </w:r>
      <w:r>
        <w:rPr>
          <w:rFonts w:hint="eastAsia" w:ascii="Arial" w:hAnsi="Arial" w:cs="Arial"/>
          <w:sz w:val="20"/>
          <w:szCs w:val="22"/>
          <w:lang w:val="en-US" w:eastAsia="zh-CN"/>
        </w:rPr>
        <w:t>to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TS 38.101-1</w:t>
      </w:r>
      <w:r>
        <w:rPr>
          <w:rFonts w:hint="eastAsia" w:ascii="Arial" w:hAnsi="Arial" w:cs="Arial"/>
          <w:sz w:val="20"/>
          <w:szCs w:val="22"/>
          <w:lang w:val="en-US" w:eastAsia="zh-CN"/>
        </w:rPr>
        <w:t>, TS38.101-2</w:t>
      </w:r>
      <w:r>
        <w:rPr>
          <w:rFonts w:hint="default" w:ascii="Arial" w:hAnsi="Arial" w:cs="Arial"/>
          <w:sz w:val="20"/>
          <w:szCs w:val="22"/>
          <w:lang w:val="en-US" w:eastAsia="zh-CN"/>
        </w:rPr>
        <w:t xml:space="preserve"> and TS 38.101-3 were </w:t>
      </w:r>
      <w:r>
        <w:rPr>
          <w:rFonts w:hint="eastAsia" w:ascii="Arial" w:hAnsi="Arial" w:cs="Arial"/>
          <w:sz w:val="20"/>
          <w:szCs w:val="22"/>
          <w:lang w:val="en-US" w:eastAsia="zh-CN"/>
        </w:rPr>
        <w:t xml:space="preserve">agreed </w:t>
      </w:r>
      <w:r>
        <w:rPr>
          <w:rFonts w:hint="default" w:ascii="Arial" w:hAnsi="Arial" w:cs="Arial"/>
          <w:sz w:val="20"/>
          <w:szCs w:val="22"/>
          <w:lang w:val="en-US" w:eastAsia="zh-CN"/>
        </w:rPr>
        <w:t>in R4-2408393</w:t>
      </w:r>
      <w:r>
        <w:rPr>
          <w:rFonts w:hint="eastAsia" w:ascii="Arial" w:hAnsi="Arial" w:cs="Arial"/>
          <w:sz w:val="20"/>
          <w:szCs w:val="22"/>
          <w:lang w:val="en-US" w:eastAsia="zh-CN"/>
        </w:rPr>
        <w:t>, R4-2408394 and R4-2408395</w:t>
      </w:r>
      <w:r>
        <w:rPr>
          <w:rFonts w:hint="default" w:ascii="Arial" w:hAnsi="Arial" w:cs="Arial"/>
          <w:sz w:val="20"/>
          <w:szCs w:val="22"/>
          <w:lang w:val="en-US" w:eastAsia="zh-CN"/>
        </w:rPr>
        <w:t>, respectively.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hint="eastAsia" w:eastAsia="宋体"/>
          <w:b/>
          <w:sz w:val="24"/>
          <w:lang w:val="en-US" w:eastAsia="zh-CN"/>
        </w:rPr>
        <w:t>TSG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>
      <w:pPr>
        <w:tabs>
          <w:tab w:val="left" w:pos="3119"/>
        </w:tabs>
        <w:rPr>
          <w:color w:val="0000FF"/>
          <w:sz w:val="24"/>
        </w:rPr>
      </w:pPr>
      <w:r>
        <w:rPr>
          <w:rFonts w:ascii="Arial" w:hAnsi="Arial" w:cs="Arial"/>
          <w:sz w:val="21"/>
          <w:szCs w:val="22"/>
        </w:rPr>
        <w:t>The document is presented for the first time to TSG RAN.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>
      <w:pPr>
        <w:tabs>
          <w:tab w:val="left" w:pos="3119"/>
        </w:tabs>
        <w:rPr>
          <w:rFonts w:hint="default" w:ascii="Arial" w:hAnsi="Arial" w:cs="Arial"/>
          <w:sz w:val="21"/>
          <w:szCs w:val="22"/>
          <w:lang w:val="en-US" w:eastAsia="zh-CN"/>
        </w:rPr>
      </w:pPr>
      <w:r>
        <w:rPr>
          <w:rFonts w:hint="eastAsia" w:ascii="Arial" w:hAnsi="Arial" w:cs="Arial"/>
          <w:sz w:val="21"/>
          <w:szCs w:val="22"/>
          <w:lang w:val="en-US" w:eastAsia="zh-CN"/>
        </w:rPr>
        <w:t>None</w:t>
      </w:r>
    </w:p>
    <w:p>
      <w:pPr>
        <w:tabs>
          <w:tab w:val="left" w:pos="3119"/>
        </w:tabs>
        <w:rPr>
          <w:b/>
          <w:sz w:val="24"/>
        </w:rPr>
      </w:pPr>
    </w:p>
    <w:p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2015-02-01: more information added to the header</w:t>
      </w:r>
    </w:p>
    <w:p>
      <w:pPr>
        <w:tabs>
          <w:tab w:val="left" w:pos="3119"/>
        </w:tabs>
        <w:spacing w:after="0"/>
        <w:rPr>
          <w:sz w:val="16"/>
          <w:szCs w:val="16"/>
        </w:rPr>
      </w:pPr>
    </w:p>
    <w:sectPr>
      <w:pgSz w:w="11898" w:h="16827"/>
      <w:pgMar w:top="1416" w:right="1133" w:bottom="1133" w:left="1133" w:header="850" w:footer="34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trackRevisions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428D"/>
    <w:rsid w:val="000F7ECB"/>
    <w:rsid w:val="00201520"/>
    <w:rsid w:val="00222D66"/>
    <w:rsid w:val="002B09A1"/>
    <w:rsid w:val="0045428D"/>
    <w:rsid w:val="005B4293"/>
    <w:rsid w:val="00CC358C"/>
    <w:rsid w:val="00DC278D"/>
    <w:rsid w:val="011E3CE2"/>
    <w:rsid w:val="014C132E"/>
    <w:rsid w:val="02443AC4"/>
    <w:rsid w:val="028A203B"/>
    <w:rsid w:val="06436553"/>
    <w:rsid w:val="09385CEE"/>
    <w:rsid w:val="0A2C0C06"/>
    <w:rsid w:val="0BAC05B3"/>
    <w:rsid w:val="0D7B0E03"/>
    <w:rsid w:val="0E4D7882"/>
    <w:rsid w:val="0F1E2159"/>
    <w:rsid w:val="102A464C"/>
    <w:rsid w:val="12714ACF"/>
    <w:rsid w:val="16721235"/>
    <w:rsid w:val="1711679D"/>
    <w:rsid w:val="18F70495"/>
    <w:rsid w:val="19DF3A01"/>
    <w:rsid w:val="1B4A1E8B"/>
    <w:rsid w:val="1C1B3CDE"/>
    <w:rsid w:val="1E2D620F"/>
    <w:rsid w:val="1EC64A9D"/>
    <w:rsid w:val="1ED631A5"/>
    <w:rsid w:val="22916443"/>
    <w:rsid w:val="238734D8"/>
    <w:rsid w:val="23F6158E"/>
    <w:rsid w:val="248C1D15"/>
    <w:rsid w:val="24A75360"/>
    <w:rsid w:val="24EA6EC3"/>
    <w:rsid w:val="26727723"/>
    <w:rsid w:val="26D046A2"/>
    <w:rsid w:val="27A83832"/>
    <w:rsid w:val="280255D6"/>
    <w:rsid w:val="295F594B"/>
    <w:rsid w:val="2B885D8C"/>
    <w:rsid w:val="36B02BC6"/>
    <w:rsid w:val="38B82CE6"/>
    <w:rsid w:val="3B4E0C5B"/>
    <w:rsid w:val="3C14299D"/>
    <w:rsid w:val="3DFA2BBE"/>
    <w:rsid w:val="40122037"/>
    <w:rsid w:val="4072249C"/>
    <w:rsid w:val="40EA548F"/>
    <w:rsid w:val="48C22822"/>
    <w:rsid w:val="4B6F7621"/>
    <w:rsid w:val="4BEA3505"/>
    <w:rsid w:val="4D2607A2"/>
    <w:rsid w:val="4DEE0ABD"/>
    <w:rsid w:val="4ED520C7"/>
    <w:rsid w:val="59A31EB1"/>
    <w:rsid w:val="5B5E47F5"/>
    <w:rsid w:val="5B7839DE"/>
    <w:rsid w:val="60B53A52"/>
    <w:rsid w:val="637D5ACA"/>
    <w:rsid w:val="67C63E4F"/>
    <w:rsid w:val="6A646982"/>
    <w:rsid w:val="6F6D36CF"/>
    <w:rsid w:val="718D41DB"/>
    <w:rsid w:val="73D85635"/>
    <w:rsid w:val="74245119"/>
    <w:rsid w:val="74296F20"/>
    <w:rsid w:val="752F7C03"/>
    <w:rsid w:val="7A4060BC"/>
    <w:rsid w:val="7B47744F"/>
    <w:rsid w:val="7C5F2BF3"/>
    <w:rsid w:val="7E3A2CA5"/>
    <w:rsid w:val="7E81304E"/>
    <w:rsid w:val="7EC9380E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ko-KR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ko-KR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iPriority w:val="0"/>
  </w:style>
  <w:style w:type="table" w:default="1" w:styleId="4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ko-KR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78"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7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7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ko-KR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annotation reference"/>
    <w:qFormat/>
    <w:uiPriority w:val="0"/>
    <w:rPr>
      <w:sz w:val="16"/>
    </w:rPr>
  </w:style>
  <w:style w:type="character" w:styleId="43">
    <w:name w:val="footnote reference"/>
    <w:semiHidden/>
    <w:qFormat/>
    <w:uiPriority w:val="0"/>
    <w:rPr>
      <w:b/>
      <w:position w:val="6"/>
      <w:sz w:val="16"/>
    </w:rPr>
  </w:style>
  <w:style w:type="paragraph" w:customStyle="1" w:styleId="4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ko-KR" w:bidi="ar-SA"/>
    </w:rPr>
  </w:style>
  <w:style w:type="paragraph" w:customStyle="1" w:styleId="4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46">
    <w:name w:val="TT"/>
    <w:basedOn w:val="2"/>
    <w:next w:val="1"/>
    <w:qFormat/>
    <w:uiPriority w:val="0"/>
    <w:pPr>
      <w:outlineLvl w:val="9"/>
    </w:pPr>
  </w:style>
  <w:style w:type="paragraph" w:customStyle="1" w:styleId="47">
    <w:name w:val="TAH"/>
    <w:basedOn w:val="48"/>
    <w:qFormat/>
    <w:uiPriority w:val="0"/>
    <w:rPr>
      <w:b/>
    </w:rPr>
  </w:style>
  <w:style w:type="paragraph" w:customStyle="1" w:styleId="48">
    <w:name w:val="TAC"/>
    <w:basedOn w:val="49"/>
    <w:qFormat/>
    <w:uiPriority w:val="0"/>
    <w:pPr>
      <w:jc w:val="center"/>
    </w:p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F"/>
    <w:basedOn w:val="51"/>
    <w:qFormat/>
    <w:uiPriority w:val="0"/>
    <w:pPr>
      <w:keepNext w:val="0"/>
      <w:spacing w:before="0" w:after="240"/>
    </w:pPr>
  </w:style>
  <w:style w:type="paragraph" w:customStyle="1" w:styleId="5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NO"/>
    <w:basedOn w:val="1"/>
    <w:qFormat/>
    <w:uiPriority w:val="0"/>
    <w:pPr>
      <w:keepLines/>
      <w:ind w:left="1135" w:hanging="851"/>
    </w:pPr>
  </w:style>
  <w:style w:type="paragraph" w:customStyle="1" w:styleId="53">
    <w:name w:val="EX"/>
    <w:basedOn w:val="1"/>
    <w:qFormat/>
    <w:uiPriority w:val="0"/>
    <w:pPr>
      <w:keepLines/>
      <w:ind w:left="1702" w:hanging="1418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ko-KR" w:bidi="ar-SA"/>
    </w:rPr>
  </w:style>
  <w:style w:type="paragraph" w:customStyle="1" w:styleId="56">
    <w:name w:val="NW"/>
    <w:basedOn w:val="52"/>
    <w:qFormat/>
    <w:uiPriority w:val="0"/>
    <w:pPr>
      <w:spacing w:after="0"/>
    </w:pPr>
  </w:style>
  <w:style w:type="paragraph" w:customStyle="1" w:styleId="57">
    <w:name w:val="EW"/>
    <w:basedOn w:val="53"/>
    <w:qFormat/>
    <w:uiPriority w:val="0"/>
    <w:pPr>
      <w:spacing w:after="0"/>
    </w:p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9">
    <w:name w:val="NF"/>
    <w:basedOn w:val="5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ko-KR" w:bidi="ar-SA"/>
    </w:rPr>
  </w:style>
  <w:style w:type="paragraph" w:customStyle="1" w:styleId="61">
    <w:name w:val="TAR"/>
    <w:basedOn w:val="49"/>
    <w:qFormat/>
    <w:uiPriority w:val="0"/>
    <w:pPr>
      <w:jc w:val="right"/>
    </w:pPr>
  </w:style>
  <w:style w:type="paragraph" w:customStyle="1" w:styleId="62">
    <w:name w:val="TAN"/>
    <w:basedOn w:val="49"/>
    <w:qFormat/>
    <w:uiPriority w:val="0"/>
    <w:pPr>
      <w:ind w:left="851" w:hanging="851"/>
    </w:pPr>
  </w:style>
  <w:style w:type="paragraph" w:customStyle="1" w:styleId="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ko-KR" w:bidi="ar-SA"/>
    </w:rPr>
  </w:style>
  <w:style w:type="paragraph" w:customStyle="1" w:styleId="6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ko-KR" w:bidi="ar-SA"/>
    </w:rPr>
  </w:style>
  <w:style w:type="paragraph" w:customStyle="1" w:styleId="6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ko-KR" w:bidi="ar-SA"/>
    </w:rPr>
  </w:style>
  <w:style w:type="paragraph" w:customStyle="1" w:styleId="6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67">
    <w:name w:val="ZV"/>
    <w:basedOn w:val="66"/>
    <w:qFormat/>
    <w:uiPriority w:val="0"/>
    <w:pPr>
      <w:framePr w:y="16161"/>
    </w:pPr>
  </w:style>
  <w:style w:type="character" w:customStyle="1" w:styleId="68">
    <w:name w:val="ZGSM"/>
    <w:qFormat/>
    <w:uiPriority w:val="0"/>
  </w:style>
  <w:style w:type="paragraph" w:customStyle="1" w:styleId="6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ko-KR" w:bidi="ar-SA"/>
    </w:rPr>
  </w:style>
  <w:style w:type="paragraph" w:customStyle="1" w:styleId="70">
    <w:name w:val="Editor's Note"/>
    <w:basedOn w:val="52"/>
    <w:qFormat/>
    <w:uiPriority w:val="0"/>
    <w:rPr>
      <w:color w:val="FF0000"/>
    </w:rPr>
  </w:style>
  <w:style w:type="paragraph" w:customStyle="1" w:styleId="71">
    <w:name w:val="B1"/>
    <w:basedOn w:val="14"/>
    <w:qFormat/>
    <w:uiPriority w:val="0"/>
  </w:style>
  <w:style w:type="paragraph" w:customStyle="1" w:styleId="72">
    <w:name w:val="B2"/>
    <w:basedOn w:val="13"/>
    <w:qFormat/>
    <w:uiPriority w:val="0"/>
  </w:style>
  <w:style w:type="paragraph" w:customStyle="1" w:styleId="73">
    <w:name w:val="B3"/>
    <w:basedOn w:val="12"/>
    <w:qFormat/>
    <w:uiPriority w:val="0"/>
  </w:style>
  <w:style w:type="paragraph" w:customStyle="1" w:styleId="74">
    <w:name w:val="B4"/>
    <w:basedOn w:val="36"/>
    <w:qFormat/>
    <w:uiPriority w:val="0"/>
  </w:style>
  <w:style w:type="paragraph" w:customStyle="1" w:styleId="75">
    <w:name w:val="B5"/>
    <w:basedOn w:val="35"/>
    <w:qFormat/>
    <w:uiPriority w:val="0"/>
  </w:style>
  <w:style w:type="paragraph" w:customStyle="1" w:styleId="76">
    <w:name w:val="ZTD"/>
    <w:basedOn w:val="64"/>
    <w:qFormat/>
    <w:uiPriority w:val="0"/>
    <w:pPr>
      <w:framePr w:hRule="auto" w:y="852"/>
    </w:pPr>
    <w:rPr>
      <w:i w:val="0"/>
      <w:sz w:val="40"/>
    </w:rPr>
  </w:style>
  <w:style w:type="character" w:customStyle="1" w:styleId="77">
    <w:name w:val="Header Char"/>
    <w:link w:val="33"/>
    <w:qFormat/>
    <w:uiPriority w:val="0"/>
    <w:rPr>
      <w:rFonts w:ascii="Arial" w:hAnsi="Arial"/>
      <w:b/>
      <w:sz w:val="18"/>
      <w:lang w:eastAsia="ko-KR"/>
    </w:rPr>
  </w:style>
  <w:style w:type="character" w:customStyle="1" w:styleId="78">
    <w:name w:val="Comment Text Char"/>
    <w:link w:val="28"/>
    <w:qFormat/>
    <w:uiPriority w:val="0"/>
    <w:rPr>
      <w:rFonts w:ascii="Arial" w:hAnsi="Arial"/>
      <w:lang w:eastAsia="en-US"/>
    </w:rPr>
  </w:style>
  <w:style w:type="character" w:customStyle="1" w:styleId="79">
    <w:name w:val="Balloon Text Char"/>
    <w:link w:val="31"/>
    <w:uiPriority w:val="0"/>
    <w:rPr>
      <w:rFonts w:ascii="Segoe UI" w:hAnsi="Segoe UI" w:cs="Segoe UI"/>
      <w:sz w:val="18"/>
      <w:szCs w:val="18"/>
      <w:lang w:eastAsia="ko-KR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Sophia-Antipolis</Company>
  <Pages>1</Pages>
  <Words>140</Words>
  <Characters>804</Characters>
  <Lines>6</Lines>
  <Paragraphs>1</Paragraphs>
  <TotalTime>2</TotalTime>
  <ScaleCrop>false</ScaleCrop>
  <LinksUpToDate>false</LinksUpToDate>
  <CharactersWithSpaces>943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2023-03-21T08:40:00Z</dcterms:created>
  <dc:creator>Maurice Pope</dc:creator>
  <dc:description>Template for presentation of Specifications to TSGs and WGs </dc:description>
  <cp:lastModifiedBy>ZTE_Wubin</cp:lastModifiedBy>
  <dcterms:modified xsi:type="dcterms:W3CDTF">2024-05-29T08:42:18Z</dcterms:modified>
  <dc:title>Presentation to TSG / WG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A93C28EE1CB8425D8C6A7366462E3EC8</vt:lpwstr>
  </property>
</Properties>
</file>